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河南大学软科中国大学排名提升工作汇报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2026 年 11 月 1 日 · 数据截至 2026 年 10 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总判断：三年目标明确，各项差距均有补足来源，实现路径清晰，具备达成条件。</w:t>
            </w:r>
          </w:p>
        </w:tc>
      </w:tr>
    </w:tbl>
    <w:p>
      <w:pPr>
        <w:pStyle w:val="Heading1"/>
      </w:pPr>
      <w:r>
        <w:t>一、目标</w:t>
      </w:r>
    </w:p>
    <w:p>
      <w:pPr>
        <w:spacing w:after="60" w:before="8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三年目标（名次按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5F3EF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279.1 分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282.7 分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286.9 分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288.9 分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95 名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89 名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87 名</w:t>
            </w:r>
          </w:p>
        </w:tc>
        <w:tc>
          <w:tcPr>
            <w:tcW w:type="dxa" w:w="2353"/>
          </w:tcPr>
          <w:p>
            <w:pPr>
              <w:spacing w:after="20" w:before="2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86 名</w:t>
            </w:r>
          </w:p>
        </w:tc>
      </w:tr>
    </w:tbl>
    <w:p>
      <w:pPr>
        <w:pStyle w:val="Heading1"/>
      </w:pPr>
      <w:r>
        <w:t>二、三年目标与实现路径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1417"/>
        <w:gridCol w:w="2608"/>
        <w:gridCol w:w="1984"/>
        <w:gridCol w:w="2608"/>
      </w:tblGrid>
      <w:tr>
        <w:trPr>
          <w:tblHeader w:val="true"/>
        </w:trPr>
        <w:tc>
          <w:tcPr>
            <w:tcW w:type="dxa" w:w="794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1417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目标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预计可达</w:t>
            </w:r>
          </w:p>
        </w:tc>
        <w:tc>
          <w:tcPr>
            <w:tcW w:type="dxa" w:w="1984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差距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补足安排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2027</w:t>
            </w:r>
          </w:p>
        </w:tc>
        <w:tc>
          <w:tcPr>
            <w:tcW w:type="dxa" w:w="1417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282.7 分 · 第 89 名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287.5~291.6 分：自然增长 +3~4、纳入目标的提升 +5.41、备选事项 +3.11</w:t>
            </w:r>
          </w:p>
        </w:tc>
        <w:tc>
          <w:tcPr>
            <w:tcW w:type="dxa" w:w="198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距第 89 名分数线 289.6~293.1 分，差距约 2.1 分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备选事项 6 项、共 +3.11 分，核查确认后补足差距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纳入目标的提升已经逐项测算；备选事项 +3.11 分高于差距 2.1 分。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主要工作：①九项指标逐项核查，核对名单与台账；②报告统计逐项核对，教学质量报告按程序申请更正；③去向落实率两套记录统一。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2028</w:t>
            </w:r>
          </w:p>
        </w:tc>
        <w:tc>
          <w:tcPr>
            <w:tcW w:type="dxa" w:w="1417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286.9 分 · 第 87 名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294.7~299.8 分：上年预计可达结转，自然增长 +3~4、纳入目标的提升 +4.20</w:t>
            </w:r>
          </w:p>
        </w:tc>
        <w:tc>
          <w:tcPr>
            <w:tcW w:type="dxa" w:w="198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0.9~6.0 分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+6.0 分：高端人才（总数）空间 +6.27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+1.61 分源于正式报告编制期提前确定数值。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主要工作：①正式报告提前规划，编制期先定口径与目标值；②调整排课，教授授课率提升至 18.7%；③职称结构、留学生比例按目标值推进。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2029</w:t>
            </w:r>
          </w:p>
        </w:tc>
        <w:tc>
          <w:tcPr>
            <w:tcW w:type="dxa" w:w="1417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288.9 分 · 第 86 名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299.7~305.8 分：上年预计可达结转，自然增长 +3~4、纳入目标的提升 +2.00</w:t>
            </w:r>
          </w:p>
        </w:tc>
        <w:tc>
          <w:tcPr>
            <w:tcW w:type="dxa" w:w="1984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3.8~9.9 分</w:t>
            </w:r>
          </w:p>
        </w:tc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+9.9 分：高端人才、造就学术人才两项空间合计 +11.99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已确定成果保持不回落，新增分值来自持续建设，+11.99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主要工作：①正式报告与统计滚动编制；②持续建设思政教育基地与国家科研项目；③逐年推进人才引进与培养。</w:t>
            </w:r>
          </w:p>
        </w:tc>
      </w:tr>
    </w:tbl>
    <w:p>
      <w:pPr>
        <w:spacing w:after="40" w:before="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 xml:space="preserve">图 · 新增分数构成（条长按新增部分绘制，起点为现有分数）　</w:t>
      </w:r>
      <w:r>
        <w:rPr>
          <w:rFonts w:ascii="Segoe UI" w:hAnsi="Segoe UI" w:eastAsia="Microsoft YaHei"/>
          <w:b w:val="0"/>
          <w:color w:val="57A773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自然增长 </w:t>
      </w:r>
      <w:r>
        <w:rPr>
          <w:rFonts w:ascii="Segoe UI" w:hAnsi="Segoe UI" w:eastAsia="Microsoft YaHei"/>
          <w:b w:val="0"/>
          <w:color w:val="4A90D9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纳入目标的提升 </w:t>
      </w:r>
      <w:r>
        <w:rPr>
          <w:rFonts w:ascii="Segoe UI" w:hAnsi="Segoe UI" w:eastAsia="Microsoft YaHei"/>
          <w:b w:val="0"/>
          <w:color w:val="C9A227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>备选事项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683"/>
        <w:gridCol w:w="2279"/>
        <w:gridCol w:w="1309"/>
        <w:gridCol w:w="2438"/>
      </w:tblGrid>
      <w:tr>
        <w:trPr>
          <w:trHeight w:val="170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2027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现有 279.1 分</w:t>
            </w:r>
          </w:p>
        </w:tc>
        <w:tc>
          <w:tcPr>
            <w:tcW w:type="dxa" w:w="1684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+4.0</w:t>
            </w:r>
          </w:p>
        </w:tc>
        <w:tc>
          <w:tcPr>
            <w:tcW w:type="dxa" w:w="2279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+5.41</w:t>
            </w:r>
          </w:p>
        </w:tc>
        <w:tc>
          <w:tcPr>
            <w:tcW w:type="dxa" w:w="1310"/>
            <w:shd w:val="clear" w:fill="F7E8BD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+3.11</w:t>
            </w:r>
          </w:p>
        </w:tc>
        <w:tc>
          <w:tcPr>
            <w:tcW w:type="dxa" w:w="2438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预计可达（上限）291.6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683"/>
        <w:gridCol w:w="1769"/>
        <w:gridCol w:w="4258"/>
      </w:tblGrid>
      <w:tr>
        <w:trPr>
          <w:trHeight w:val="170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2028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291.6 分</w:t>
            </w:r>
          </w:p>
        </w:tc>
        <w:tc>
          <w:tcPr>
            <w:tcW w:type="dxa" w:w="1684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+4.0</w:t>
            </w:r>
          </w:p>
        </w:tc>
        <w:tc>
          <w:tcPr>
            <w:tcW w:type="dxa" w:w="1769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+4.20</w:t>
            </w:r>
          </w:p>
        </w:tc>
        <w:tc>
          <w:tcPr>
            <w:tcW w:type="dxa" w:w="4258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预计可达（上限）299.8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683"/>
        <w:gridCol w:w="844"/>
        <w:gridCol w:w="5182"/>
      </w:tblGrid>
      <w:tr>
        <w:trPr>
          <w:trHeight w:val="170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2029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299.8 分</w:t>
            </w:r>
          </w:p>
        </w:tc>
        <w:tc>
          <w:tcPr>
            <w:tcW w:type="dxa" w:w="1684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+4.0</w:t>
            </w:r>
          </w:p>
        </w:tc>
        <w:tc>
          <w:tcPr>
            <w:tcW w:type="dxa" w:w="845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+2.00</w:t>
            </w:r>
          </w:p>
        </w:tc>
        <w:tc>
          <w:tcPr>
            <w:tcW w:type="dxa" w:w="5182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预计可达（上限）305.8 分</w:t>
            </w:r>
          </w:p>
        </w:tc>
      </w:tr>
    </w:tbl>
    <w:p>
      <w:pPr>
        <w:pStyle w:val="Heading1"/>
        <w:spacing w:before="40"/>
      </w:pPr>
      <w:r>
        <w:t>三、支撑资源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2268"/>
        <w:gridCol w:w="2268"/>
        <w:gridCol w:w="2268"/>
      </w:tblGrid>
      <w:tr>
        <w:trPr>
          <w:tblHeader w:val="true"/>
        </w:trPr>
        <w:tc>
          <w:tcPr>
            <w:tcW w:type="dxa" w:w="260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逐项核查的数据与材料底座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软科口径测算模型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正式报告编制统筹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逐年动态复测</w:t>
            </w:r>
          </w:p>
        </w:tc>
      </w:tr>
      <w:tr>
        <w:tc>
          <w:tcPr>
            <w:tcW w:type="dxa" w:w="260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100 项指标逐项核查，核查材料共 155 条</w:t>
            </w:r>
          </w:p>
        </w:tc>
        <w:tc>
          <w:tcPr>
            <w:tcW w:type="dxa" w:w="226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按软科公开方法逐项测算、分数线逐年推算</w:t>
            </w:r>
          </w:p>
        </w:tc>
        <w:tc>
          <w:tcPr>
            <w:tcW w:type="dxa" w:w="226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报告与统计编制期先行评审口径并确定目标值</w:t>
            </w:r>
          </w:p>
        </w:tc>
        <w:tc>
          <w:tcPr>
            <w:tcW w:type="dxa" w:w="2268"/>
          </w:tcPr>
          <w:p>
            <w:pPr>
              <w:spacing w:after="20" w:before="2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每年新版后复测构成与差距、滚动调整</w:t>
            </w:r>
          </w:p>
        </w:tc>
      </w:tr>
    </w:tbl>
    <w:p>
      <w:pPr>
        <w:spacing w:after="0" w:before="60" w:line="360" w:lineRule="auto"/>
      </w:pPr>
      <w:r>
        <w:rPr>
          <w:rFonts w:ascii="Segoe UI" w:hAnsi="Segoe UI" w:eastAsia="Microsoft YaHei"/>
          <w:b w:val="0"/>
          <w:color w:val="2D3748"/>
          <w:sz w:val="20"/>
        </w:rPr>
        <w:t>本材料所依据的测算与逐项核查，由 mShare 提供技术支持。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8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